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00" w:lineRule="exact"/>
        <w:jc w:val="left"/>
        <w:rPr>
          <w:rFonts w:asci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</w:rPr>
        <w:t>2</w:t>
      </w:r>
      <w:r>
        <w:rPr>
          <w:rFonts w:hint="eastAsia" w:ascii="Times New Roman" w:hAnsi="黑体" w:eastAsia="黑体"/>
          <w:sz w:val="32"/>
          <w:szCs w:val="32"/>
        </w:rPr>
        <w:t>：</w:t>
      </w:r>
    </w:p>
    <w:p>
      <w:pPr>
        <w:spacing w:afterLines="50" w:line="500" w:lineRule="exact"/>
        <w:jc w:val="center"/>
        <w:rPr>
          <w:rFonts w:asci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企业涉诉经济影响自评表</w:t>
      </w:r>
    </w:p>
    <w:tbl>
      <w:tblPr>
        <w:tblStyle w:val="2"/>
        <w:tblW w:w="878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50"/>
        <w:gridCol w:w="1797"/>
        <w:gridCol w:w="715"/>
        <w:gridCol w:w="963"/>
        <w:gridCol w:w="1418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案由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案号</w:t>
            </w:r>
          </w:p>
        </w:tc>
        <w:tc>
          <w:tcPr>
            <w:tcW w:w="3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案件当事人</w:t>
            </w:r>
          </w:p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信息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姓名（名称）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联系方式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联系地址</w:t>
            </w: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案件</w:t>
            </w:r>
          </w:p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阶段</w:t>
            </w:r>
          </w:p>
        </w:tc>
        <w:tc>
          <w:tcPr>
            <w:tcW w:w="7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0" w:firstLineChars="100"/>
              <w:jc w:val="lef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立案阶段</w:t>
            </w:r>
            <w:r>
              <w:rPr>
                <w:rFonts w:hint="eastAsia" w:ascii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保全阶段</w:t>
            </w:r>
          </w:p>
          <w:p>
            <w:pPr>
              <w:spacing w:line="280" w:lineRule="exact"/>
              <w:ind w:firstLine="240" w:firstLineChars="100"/>
              <w:jc w:val="lef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审理阶段</w:t>
            </w:r>
            <w:r>
              <w:rPr>
                <w:rFonts w:hint="eastAsia" w:ascii="Times New Roman" w:eastAsia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执行阶段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无影响</w:t>
            </w:r>
          </w:p>
        </w:tc>
        <w:tc>
          <w:tcPr>
            <w:tcW w:w="7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1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b/>
                <w:bCs/>
                <w:sz w:val="24"/>
                <w:szCs w:val="24"/>
              </w:rPr>
              <w:t>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有影响</w:t>
            </w:r>
          </w:p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b/>
                <w:bCs/>
                <w:sz w:val="24"/>
                <w:szCs w:val="24"/>
              </w:rPr>
              <w:t>蓝色</w:t>
            </w:r>
          </w:p>
        </w:tc>
        <w:tc>
          <w:tcPr>
            <w:tcW w:w="71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企业可能承担大额金钱给付责任，或涉诉裁判将明显影响其生产经营的；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企业和企业出资人、股东、高管、关键岗位上的技术人员涉嫌经济犯罪的刑事案件；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其他对企业经营有明显影响但不至于造成其生存困难的情况；具体是：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4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b/>
                <w:bCs/>
                <w:sz w:val="24"/>
                <w:szCs w:val="24"/>
              </w:rPr>
              <w:t>黄色</w:t>
            </w:r>
          </w:p>
        </w:tc>
        <w:tc>
          <w:tcPr>
            <w:tcW w:w="7190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给企业正常经营带来严重且不可逆的后果的；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涉及国家</w:t>
            </w:r>
            <w:r>
              <w:rPr>
                <w:rFonts w:hint="eastAsia" w:ascii="Times New Roman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和省级战略经济政策重点扶持和鼓励领域企业的；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可能会引起上市公司股价异常波动的；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侵犯企业知识产权、商业秘密，且对企业生产经营造成严重影响的；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其他可能影响企业生存的情况。具体是：</w:t>
            </w:r>
          </w:p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4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Theme="minorEastAsia" w:eastAsiaTheme="minorEastAsia"/>
                <w:b/>
                <w:bCs/>
                <w:sz w:val="24"/>
                <w:szCs w:val="24"/>
              </w:rPr>
              <w:t>红色</w:t>
            </w:r>
          </w:p>
        </w:tc>
        <w:tc>
          <w:tcPr>
            <w:tcW w:w="71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对企业可能造成停产、关闭等重大影响的案件；；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涉及产业在法院辖区内系投资规模大、建设周期长、产值规模大、就业人数多、缴纳税收多的；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影响当地区域金融稳定的；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eastAsiaTheme="minorEastAsia"/>
                <w:sz w:val="24"/>
                <w:szCs w:val="24"/>
              </w:rPr>
              <w:t>□</w:t>
            </w: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其他严重影响企业生存，或将严重影响区域经济发展的情况。具体是：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相关</w:t>
            </w:r>
          </w:p>
          <w:p>
            <w:pPr>
              <w:spacing w:line="280" w:lineRule="exact"/>
              <w:jc w:val="center"/>
              <w:rPr>
                <w:rFonts w:ascii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7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Times New Roman" w:eastAsiaTheme="minorEastAsia"/>
                <w:sz w:val="24"/>
                <w:szCs w:val="24"/>
              </w:rPr>
            </w:pPr>
          </w:p>
        </w:tc>
      </w:tr>
    </w:tbl>
    <w:p>
      <w:pPr>
        <w:spacing w:beforeLines="50" w:line="320" w:lineRule="exact"/>
        <w:ind w:firstLine="480" w:firstLineChars="200"/>
        <w:jc w:val="left"/>
        <w:rPr>
          <w:rFonts w:ascii="Times New Roman" w:cs="仿宋_GB2312" w:eastAsiaTheme="majorEastAsia"/>
          <w:sz w:val="24"/>
          <w:szCs w:val="24"/>
        </w:rPr>
      </w:pPr>
      <w:r>
        <w:rPr>
          <w:rFonts w:hint="eastAsia" w:ascii="Times New Roman" w:cs="仿宋_GB2312" w:hAnsiTheme="majorEastAsia" w:eastAsiaTheme="majorEastAsia"/>
          <w:sz w:val="24"/>
          <w:szCs w:val="24"/>
        </w:rPr>
        <w:t>填写说明：请按照红黄蓝绿分级中的内容进行填写，勾选多项分级默认选择最高级别；同时需提交佐证资料一并交人民法院。</w:t>
      </w:r>
    </w:p>
    <w:p>
      <w:pPr>
        <w:spacing w:line="460" w:lineRule="exact"/>
        <w:ind w:firstLine="480" w:firstLineChars="200"/>
        <w:jc w:val="left"/>
        <w:rPr>
          <w:rFonts w:ascii="Times New Roman" w:cs="仿宋_GB2312" w:eastAsiaTheme="majorEastAsia"/>
          <w:sz w:val="24"/>
          <w:szCs w:val="24"/>
        </w:rPr>
      </w:pPr>
    </w:p>
    <w:p>
      <w:pPr>
        <w:spacing w:line="320" w:lineRule="exact"/>
        <w:ind w:firstLine="480" w:firstLineChars="200"/>
        <w:jc w:val="left"/>
        <w:rPr>
          <w:rFonts w:ascii="Times New Roman" w:cs="仿宋_GB2312" w:eastAsiaTheme="majorEastAsia"/>
          <w:sz w:val="24"/>
          <w:szCs w:val="24"/>
        </w:rPr>
      </w:pPr>
      <w:r>
        <w:rPr>
          <w:rFonts w:hint="eastAsia" w:ascii="Times New Roman" w:cs="仿宋_GB2312" w:eastAsiaTheme="majorEastAsia"/>
          <w:sz w:val="24"/>
          <w:szCs w:val="24"/>
        </w:rPr>
        <w:t xml:space="preserve">                                  </w:t>
      </w:r>
      <w:r>
        <w:rPr>
          <w:rFonts w:hint="eastAsia" w:ascii="Times New Roman" w:cs="仿宋_GB2312" w:hAnsiTheme="majorEastAsia" w:eastAsiaTheme="majorEastAsia"/>
          <w:sz w:val="24"/>
          <w:szCs w:val="24"/>
        </w:rPr>
        <w:t>当事人签名：</w:t>
      </w:r>
    </w:p>
    <w:p>
      <w:pPr>
        <w:spacing w:line="320" w:lineRule="exact"/>
        <w:ind w:firstLine="480" w:firstLineChars="200"/>
        <w:jc w:val="left"/>
        <w:rPr>
          <w:rFonts w:ascii="Times New Roman" w:cs="仿宋_GB2312" w:eastAsiaTheme="majorEastAsia"/>
          <w:sz w:val="24"/>
          <w:szCs w:val="24"/>
        </w:rPr>
      </w:pPr>
      <w:r>
        <w:rPr>
          <w:rFonts w:hint="eastAsia" w:ascii="Times New Roman" w:cs="仿宋_GB2312" w:eastAsiaTheme="majorEastAsia"/>
          <w:sz w:val="24"/>
          <w:szCs w:val="24"/>
        </w:rPr>
        <w:t xml:space="preserve">                                          </w:t>
      </w:r>
      <w:r>
        <w:rPr>
          <w:rFonts w:hint="eastAsia" w:ascii="Times New Roman" w:cs="仿宋_GB2312" w:hAnsiTheme="majorEastAsia" w:eastAsiaTheme="majorEastAsia"/>
          <w:sz w:val="24"/>
          <w:szCs w:val="24"/>
        </w:rPr>
        <w:t>年</w:t>
      </w:r>
      <w:r>
        <w:rPr>
          <w:rFonts w:hint="eastAsia" w:ascii="Times New Roman" w:cs="仿宋_GB2312" w:eastAsiaTheme="majorEastAsia"/>
          <w:sz w:val="24"/>
          <w:szCs w:val="24"/>
        </w:rPr>
        <w:t xml:space="preserve">   </w:t>
      </w:r>
      <w:r>
        <w:rPr>
          <w:rFonts w:hint="eastAsia" w:ascii="Times New Roman" w:cs="仿宋_GB2312" w:hAnsiTheme="majorEastAsia" w:eastAsiaTheme="majorEastAsia"/>
          <w:sz w:val="24"/>
          <w:szCs w:val="24"/>
        </w:rPr>
        <w:t>月</w:t>
      </w:r>
      <w:r>
        <w:rPr>
          <w:rFonts w:hint="eastAsia" w:ascii="Times New Roman" w:cs="仿宋_GB2312" w:eastAsiaTheme="majorEastAsia"/>
          <w:sz w:val="24"/>
          <w:szCs w:val="24"/>
        </w:rPr>
        <w:t xml:space="preserve">   </w:t>
      </w:r>
      <w:r>
        <w:rPr>
          <w:rFonts w:hint="eastAsia" w:ascii="Times New Roman" w:cs="仿宋_GB2312" w:hAnsiTheme="majorEastAsia" w:eastAsiaTheme="majorEastAsia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7FD15"/>
    <w:rsid w:val="F5F7F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2024-12-02T11:13:00Z</dcterms:created>
  <dc:creator>YDFY</dc:creator>
  <cp:lastModifiedBy>YDFY</cp:lastModifiedBy>
  <dcterms:modified xsi:type="dcterms:W3CDTF">2024-12-02T11:14:29Z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45C9DF89117D2A3AF0254D67C4E4FEA1</vt:lpwstr>
  </property>
</Properties>
</file>